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78" w:tblpY="831"/>
        <w:tblOverlap w:val="never"/>
        <w:tblW w:w="16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922"/>
        <w:gridCol w:w="470"/>
        <w:gridCol w:w="580"/>
        <w:gridCol w:w="460"/>
        <w:gridCol w:w="994"/>
        <w:gridCol w:w="1203"/>
        <w:gridCol w:w="10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0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保山市第二人民医院传染病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医疗设备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配套设施采购清单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47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是否进口</w:t>
            </w:r>
          </w:p>
        </w:tc>
        <w:tc>
          <w:tcPr>
            <w:tcW w:w="58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6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9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预估单价（元）</w:t>
            </w:r>
          </w:p>
        </w:tc>
        <w:tc>
          <w:tcPr>
            <w:tcW w:w="120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预估总价（元）</w:t>
            </w:r>
          </w:p>
        </w:tc>
        <w:tc>
          <w:tcPr>
            <w:tcW w:w="1081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设备参数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医用超纯水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1、制水量≥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0L/h。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2、纯化水：在线监测电导率≤ 0.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μs/cm，微颗粒＜1个/ml，吸光度＜0.001，蒸发残渣＜1.0mg/L,重金属＜0.1ppb出水水质符合NCCLS，ASTM一类水质要求。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主机尺寸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×4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0×520(mm)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4、总功率≤1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0W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5、微电脑全自动控制,内部主要电器元件采用24V直流电压，保证人员安全。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6、进水水源：市政自来水（TDS≤400ppm，进水压力：2.0-5.0kg/cm2，水温5-45℃）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7、工作电源：220V/50Hz。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高压注射器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1、具有：“直接压力传感器”实时检测注射压力，在压力异常时及时停止运行并自动报警，有效防止注射渗漏；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2、具备“排气确认”保护按钮，需要先排气确认后才能进行注射，有效保护患者安全，避免空气栓塞；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具备软件停止和硬件开关两种停止方式，以及具备紧急开关；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注射过程实时监控，本地和远程控制盒均可在必要时即时暂停或停止；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发生故障时，系统自动根据故障等级发出声光报警；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具有试注射功能，利于确认液路连通；试注射速度:0.1～1.0ml/s，试注射药量:0.1～3ml；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在预案中设置“暂停”时，系统能自动启用KVO功能；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使用的注射器容量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200ml规格；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9、注射速率范围：0.1-10ml/s；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10、具有四档注射压力设置：100、150、200、250Psi；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11、可保存的预案数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120个，每个预案可设置8个步骤；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扫描延时和注射延时是0-600s，以增量1s；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电源要求符合我院使用要求，AC.220V 50Hz，≤250VA；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14、机头尾部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LED指示灯可旋转发光，直接反映注射、吸药状态；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注射同步检测，具有在注射堵塞时报警停机；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16、注射头、移动台车式主机和近端控制盒是一体化，在病人近端也可进行所有操作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除注射前的准备工作外，正常操作均可通过屏蔽室外的远端控制盒进行，近端和远端操作屏是完全同步；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18、远程、近端控制盒均采用触摸屏+全彩液晶屏；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远端操作台规格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120mm*250mm*140mm；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20、具有盐水排气、盐水冲洗、盐水束推进、双流注射功能；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21、采用卡口旋转式安装注射器针筒；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22、标准配置：注射器主机、远程控制盒、线缆包（电源线、数据线）文件包（说明书、保修卡、合格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连体铅衣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HB01正穿半袖/0.5mmpb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包含：连体铅衣（半袖）、铅帽、铅眼镜、铅围脖（条型）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分体铅衣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HB06半袖防护套裙/0.5mmpb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包含：铅衣（半袖）、铅围裙、铅帽、铅眼镜、铅围脖（条型）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铅单巾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1200*900/0.5mmpb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铅毯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1500*900/0.5mmpb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铅屏风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HW04医用X射线防护屏/3mmpb移动式可升降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铅衣架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C型铅衣架5件套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加粗加厚不锈钢铅衣架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件款高度1550mm*底盘长度1350mm*宽度600mm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底部加万能转向轮四个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底部可加不锈钢大托盘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右侧加不锈钢小托盘三个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个人剂量报警仪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3600 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1、测量范围：剂量率0.01 µSv/h～150mSv/h； 累积剂量  0.00 µSv ～999.99mSv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2、能量范围：40keV～3.0MeV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3、能量响应误差：≤±30%（相对于137Cs）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4、相对基本误差：≤±10%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5、测量时间：测量时间根据射线强度自动选择，响应速度更快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6、报警阈值：0.5、1.0、2.5、10、30、50、100……5000 µSv/h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7、防护报警响应时间：1-2秒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8、显示单位：剂量率(µSv/h或mSv/h或Sv/h)和累积剂量(µSv或mSv或Sv)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9、供电方式：使用一节7号电池，低功耗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10、外形尺寸：≥90*60*17 mm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11、重量：≥66g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紫外线消毒车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1、产品型号：移动式双灯管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2、输入功率(VA)：≤150VA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3、紫外线灯管型号和数量：ZW30S19W*2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4、灯臂长(mm):915±2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5、灯管长(mm):894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val="en-US" w:eastAsia="zh-CN"/>
              </w:rPr>
              <w:t xml:space="preserve">外形尺寸(mm):≥340*360*1060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7、灯臂调节角度(℃)：0-180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8、万向轮：4*360度软塑料轮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9、箱体材质：冷轧板喷塑，外表面应平整光洁，无锋棱、毛刺、裂纹等缺陷。喷塑件光亮，色泽均匀，无脱落、流挂、划痕现象，文字标志清晰准确。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10、工作条件：电源220V±22V 50HZ±1HZ，环境温度5-40℃，相对湿度：≤80%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11、紫外线辐射波长：≤253.7nm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12、适用面积：≤20㎡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13、消毒定时范围：0-120分钟，其最大定时误差&lt;15min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器械打包台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1、全不锈钢，带节能照明灯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2、立柱上由电源插座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3、尺寸：≥2000（L）*1100（W）*1450（H）mm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塑料打包台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全不锈钢，带检查灯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2、日光灯电源由前后两个开关实行双控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3、尺寸：≥2000（L）*1100(W)*850(H)mm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贮槽平台车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1、全不锈钢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2、结构轻巧，推拉方便，便于各种物品的运输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900（L）×500（W）×940（H）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空气压缩机</w:t>
            </w:r>
          </w:p>
        </w:tc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1、采用压力控制器控制设备启停、操控简单，稳定可靠；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2、自带储气罐，内喷涂工艺技术，避免储存气体的污染；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3、产气量 ≥120升/分钟；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4、功率：≥0.75KW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5、外形尺寸：≤380mm*380mm*650mm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245400</w:t>
            </w:r>
          </w:p>
        </w:tc>
        <w:tc>
          <w:tcPr>
            <w:tcW w:w="108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科室负责人：                                           制表人：                               年           月           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9F3E69"/>
    <w:multiLevelType w:val="singleLevel"/>
    <w:tmpl w:val="C29F3E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jJkOTMzMDc5OTY1MTUwZWZjOTFjMTFjYTFlMWYifQ=="/>
  </w:docVars>
  <w:rsids>
    <w:rsidRoot w:val="7F280749"/>
    <w:rsid w:val="004800E5"/>
    <w:rsid w:val="007D6947"/>
    <w:rsid w:val="0928760B"/>
    <w:rsid w:val="10790FE5"/>
    <w:rsid w:val="1C717668"/>
    <w:rsid w:val="1F4F0944"/>
    <w:rsid w:val="23AB5A80"/>
    <w:rsid w:val="26D94133"/>
    <w:rsid w:val="27093BED"/>
    <w:rsid w:val="28D75C7D"/>
    <w:rsid w:val="31255A1E"/>
    <w:rsid w:val="362156E5"/>
    <w:rsid w:val="3BBD53E7"/>
    <w:rsid w:val="508C1E7B"/>
    <w:rsid w:val="560441A8"/>
    <w:rsid w:val="5BF163E9"/>
    <w:rsid w:val="5DBE2E3B"/>
    <w:rsid w:val="5DEA422C"/>
    <w:rsid w:val="625C516C"/>
    <w:rsid w:val="67A35889"/>
    <w:rsid w:val="79342160"/>
    <w:rsid w:val="7A8F7473"/>
    <w:rsid w:val="7F28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semiHidden/>
    <w:qFormat/>
    <w:uiPriority w:val="0"/>
    <w:rPr>
      <w:rFonts w:ascii="宋体"/>
      <w:color w:val="000000"/>
      <w:sz w:val="2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4</Pages>
  <Words>1732</Words>
  <Characters>2325</Characters>
  <Lines>0</Lines>
  <Paragraphs>0</Paragraphs>
  <TotalTime>9</TotalTime>
  <ScaleCrop>false</ScaleCrop>
  <LinksUpToDate>false</LinksUpToDate>
  <CharactersWithSpaces>2351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2023-04-19T08:18:00Z</dcterms:created>
  <dc:creator>小元子</dc:creator>
  <cp:lastModifiedBy>李霞</cp:lastModifiedBy>
  <dcterms:modified xsi:type="dcterms:W3CDTF">2023-04-27T08:16:43Z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52B3C62DB462445B9A51DEC7701603C4</vt:lpwstr>
  </property>
</Properties>
</file>